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2078720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ואחת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spacing w:line="360" w:lineRule="auto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עודד פורר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אלי אבידר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יוליה מלינובסקי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יבגני סובה</w:t>
      </w:r>
      <w:bookmarkEnd w:id="3"/>
    </w:p>
    <w:p w14:paraId="7F6961AA" w14:textId="39F9D96B" w:rsidR="00E13C27" w:rsidRPr="00CF1AA2" w:rsidRDefault="007D585A" w:rsidP="0036422C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id="4" w:name="LGS_Join_List"/>
      <w:r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פ/210/21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58C036CE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 xml:space="preserve">הצעת חוק לעידוד </w:t>
      </w:r>
      <w:r w:rsidR="00D9704D">
        <w:rPr>
          <w:rFonts w:hint="cs"/>
          <w:rtl/>
        </w:rPr>
        <w:t>השקעות הון (תיקון</w:t>
      </w:r>
      <w:r w:rsidR="00022415">
        <w:t xml:space="preserve"> </w:t>
      </w:r>
      <w:r w:rsidR="00D9704D">
        <w:rPr>
          <w:rFonts w:hint="cs"/>
          <w:rtl/>
        </w:rPr>
        <w:t>–</w:t>
      </w:r>
      <w:r w:rsidR="00022415">
        <w:t xml:space="preserve"> </w:t>
      </w:r>
      <w:r>
        <w:rPr>
          <w:rFonts w:hint="cs"/>
          <w:rtl/>
        </w:rPr>
        <w:t>הקלה בתנאי סף למפעל קטן) (הוראת שעה), התשע"ט–2019</w:t>
      </w:r>
      <w:bookmarkEnd w:id="7"/>
    </w:p>
    <w:tbl>
      <w:tblPr>
        <w:bidiVisual/>
        <w:tblW w:w="9639" w:type="dxa"/>
        <w:tblInd w:w="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624"/>
        <w:gridCol w:w="624"/>
        <w:gridCol w:w="6522"/>
      </w:tblGrid>
      <w:tr w:rsidR="007C3367" w14:paraId="7D709277" w14:textId="77777777" w:rsidTr="008D6A19">
        <w:trPr>
          <w:cantSplit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9A4F9C5" w14:textId="77777777" w:rsidR="007C3367" w:rsidRDefault="007C3367" w:rsidP="008D6A19">
            <w:pPr>
              <w:pStyle w:val="TableSideHeading"/>
              <w:ind w:right="0"/>
            </w:pPr>
            <w:r>
              <w:rPr>
                <w:rFonts w:hint="cs"/>
                <w:sz w:val="26"/>
                <w:rtl/>
              </w:rPr>
              <w:t xml:space="preserve">הוראת שעה </w:t>
            </w:r>
            <w:r>
              <w:rPr>
                <w:rFonts w:hint="eastAsia"/>
                <w:sz w:val="26"/>
                <w:rtl/>
              </w:rPr>
              <w:t>–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sz w:val="26"/>
                <w:rtl/>
              </w:rPr>
              <w:t>תיקון</w:t>
            </w:r>
            <w:r>
              <w:rPr>
                <w:rFonts w:hint="cs"/>
                <w:sz w:val="26"/>
                <w:rtl/>
              </w:rPr>
              <w:t xml:space="preserve"> </w:t>
            </w:r>
            <w:r w:rsidRPr="00D323B2">
              <w:rPr>
                <w:sz w:val="26"/>
                <w:rtl/>
              </w:rPr>
              <w:t xml:space="preserve">סעיף </w:t>
            </w:r>
            <w:r>
              <w:rPr>
                <w:rFonts w:hint="cs"/>
                <w:sz w:val="26"/>
                <w:rtl/>
              </w:rPr>
              <w:t xml:space="preserve">18א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0EBA68" w14:textId="77777777" w:rsidR="007C3367" w:rsidRDefault="007C3367" w:rsidP="008D6A19">
            <w:pPr>
              <w:pStyle w:val="TableText"/>
              <w:ind w:right="0"/>
              <w:jc w:val="both"/>
            </w:pPr>
            <w:r>
              <w:rPr>
                <w:sz w:val="26"/>
                <w:rtl/>
              </w:rPr>
              <w:t xml:space="preserve">1. </w:t>
            </w:r>
          </w:p>
        </w:tc>
        <w:tc>
          <w:tcPr>
            <w:tcW w:w="7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1F854" w14:textId="77777777" w:rsidR="007C3367" w:rsidRDefault="007C3367" w:rsidP="008D6A19">
            <w:pPr>
              <w:pStyle w:val="TableBlock"/>
              <w:rPr>
                <w:rtl/>
              </w:rPr>
            </w:pPr>
            <w:r>
              <w:rPr>
                <w:rFonts w:hint="cs"/>
                <w:sz w:val="26"/>
                <w:rtl/>
              </w:rPr>
              <w:t>החל ביום פרסומו של חוק זה ועד חמש שנים מיום פרסומו יקראו את סעיף 18א(ג)(1) ל</w:t>
            </w:r>
            <w:r>
              <w:rPr>
                <w:sz w:val="26"/>
                <w:rtl/>
              </w:rPr>
              <w:t>חוק לעידוד השקעות הון, התשי"ט–1959</w:t>
            </w:r>
            <w:r>
              <w:rPr>
                <w:rStyle w:val="a6"/>
                <w:sz w:val="26"/>
                <w:rtl/>
              </w:rPr>
              <w:footnoteReference w:id="2"/>
            </w:r>
            <w:r>
              <w:rPr>
                <w:rFonts w:hint="cs"/>
                <w:sz w:val="26"/>
                <w:rtl/>
              </w:rPr>
              <w:t xml:space="preserve">, כך שאחרי פסקת משנה (ג) יבוא: </w:t>
            </w:r>
            <w:r>
              <w:rPr>
                <w:sz w:val="26"/>
                <w:rtl/>
              </w:rPr>
              <w:t xml:space="preserve"> </w:t>
            </w:r>
          </w:p>
        </w:tc>
      </w:tr>
      <w:tr w:rsidR="007C3367" w14:paraId="1CC09DD3" w14:textId="77777777" w:rsidTr="008D6A19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69" w:type="dxa"/>
          </w:tcPr>
          <w:p w14:paraId="62AFEB45" w14:textId="77777777" w:rsidR="007C3367" w:rsidRPr="00BA73CC" w:rsidRDefault="007C3367" w:rsidP="008D6A19">
            <w:pPr>
              <w:pStyle w:val="TableSideHeading"/>
              <w:ind w:right="0"/>
            </w:pPr>
          </w:p>
        </w:tc>
        <w:tc>
          <w:tcPr>
            <w:tcW w:w="624" w:type="dxa"/>
          </w:tcPr>
          <w:p w14:paraId="11E1A2A4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24" w:type="dxa"/>
          </w:tcPr>
          <w:p w14:paraId="182928A0" w14:textId="77777777" w:rsidR="007C3367" w:rsidRDefault="007C3367" w:rsidP="008D6A19">
            <w:pPr>
              <w:pStyle w:val="TableText"/>
              <w:ind w:right="0"/>
              <w:jc w:val="both"/>
            </w:pPr>
            <w:r>
              <w:rPr>
                <w:rFonts w:hint="cs"/>
                <w:rtl/>
              </w:rPr>
              <w:t>"(ד)</w:t>
            </w:r>
          </w:p>
        </w:tc>
        <w:tc>
          <w:tcPr>
            <w:tcW w:w="6522" w:type="dxa"/>
          </w:tcPr>
          <w:p w14:paraId="7E083AB1" w14:textId="77777777" w:rsidR="007C3367" w:rsidRDefault="007C3367" w:rsidP="008D6A19">
            <w:pPr>
              <w:pStyle w:val="TableText"/>
              <w:ind w:right="0"/>
              <w:jc w:val="both"/>
            </w:pPr>
            <w:r>
              <w:rPr>
                <w:rFonts w:hint="cs"/>
                <w:rtl/>
              </w:rPr>
              <w:t xml:space="preserve">אם מחזור המכירות שלו נמוך </w:t>
            </w:r>
            <w:r w:rsidRPr="00BA73CC">
              <w:rPr>
                <w:rFonts w:hint="cs"/>
                <w:rtl/>
              </w:rPr>
              <w:t xml:space="preserve">מ-100 מיליון שקלים חדשים בשנה, יתקיימו כל אלה, ובלבד שבכל אחת מהשנים מחזור המכירות יגדל ב-1.5% לפחות: </w:t>
            </w:r>
          </w:p>
        </w:tc>
      </w:tr>
      <w:tr w:rsidR="007C3367" w:rsidRPr="00BA73CC" w14:paraId="75F6FD65" w14:textId="77777777" w:rsidTr="008D6A19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69" w:type="dxa"/>
          </w:tcPr>
          <w:p w14:paraId="24737581" w14:textId="77777777" w:rsidR="007C3367" w:rsidRDefault="007C3367" w:rsidP="008D6A19">
            <w:pPr>
              <w:pStyle w:val="TableSideHeading"/>
              <w:ind w:right="0"/>
              <w:rPr>
                <w:rtl/>
              </w:rPr>
            </w:pPr>
          </w:p>
        </w:tc>
        <w:tc>
          <w:tcPr>
            <w:tcW w:w="624" w:type="dxa"/>
          </w:tcPr>
          <w:p w14:paraId="7C6FA522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24" w:type="dxa"/>
          </w:tcPr>
          <w:p w14:paraId="621F104C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522" w:type="dxa"/>
          </w:tcPr>
          <w:p w14:paraId="5CC112B1" w14:textId="77777777" w:rsidR="007C3367" w:rsidRPr="00BA73CC" w:rsidRDefault="007C3367" w:rsidP="008D6A19">
            <w:pPr>
              <w:pStyle w:val="TableText"/>
              <w:ind w:right="0"/>
              <w:jc w:val="both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(1)</w:t>
            </w:r>
            <w:r>
              <w:rPr>
                <w:sz w:val="26"/>
                <w:rtl/>
              </w:rPr>
              <w:tab/>
            </w:r>
            <w:r w:rsidRPr="00C46FBE">
              <w:rPr>
                <w:sz w:val="26"/>
                <w:rtl/>
              </w:rPr>
              <w:t>15%</w:t>
            </w:r>
            <w:r w:rsidRPr="00B868BF"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</w:rPr>
              <w:t>או יותר מכלל הכנסתו, בשנת המס הראשונה</w:t>
            </w:r>
            <w:r w:rsidRPr="00A934BC">
              <w:rPr>
                <w:sz w:val="26"/>
                <w:rtl/>
              </w:rPr>
              <w:t>, ממכירות המפעל, הן ממכירות בשוק מסוים המונה 14 מיליון תושבים לפחות; מספר התושבים לפי פסקת משנה זו יעלה, ב-1 בינואר של כל שנת מס, בשיעור של 1.4% ביחס למספר התושבים לפי פסקת משנה זו ב-1 בינואר של שנת המס הקודמת;</w:t>
            </w:r>
          </w:p>
        </w:tc>
      </w:tr>
      <w:tr w:rsidR="007C3367" w:rsidRPr="00BA73CC" w14:paraId="6152A37D" w14:textId="77777777" w:rsidTr="008D6A19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69" w:type="dxa"/>
          </w:tcPr>
          <w:p w14:paraId="1F63F784" w14:textId="77777777" w:rsidR="007C3367" w:rsidRDefault="007C3367" w:rsidP="008D6A19">
            <w:pPr>
              <w:pStyle w:val="TableSideHeading"/>
              <w:ind w:right="0"/>
              <w:rPr>
                <w:rtl/>
              </w:rPr>
            </w:pPr>
          </w:p>
        </w:tc>
        <w:tc>
          <w:tcPr>
            <w:tcW w:w="624" w:type="dxa"/>
          </w:tcPr>
          <w:p w14:paraId="591B451D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24" w:type="dxa"/>
          </w:tcPr>
          <w:p w14:paraId="0637524A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522" w:type="dxa"/>
          </w:tcPr>
          <w:p w14:paraId="135C91D0" w14:textId="77777777" w:rsidR="007C3367" w:rsidRPr="00BA73CC" w:rsidRDefault="007C3367" w:rsidP="008D6A19">
            <w:pPr>
              <w:pStyle w:val="TableText"/>
              <w:ind w:right="0"/>
              <w:jc w:val="both"/>
              <w:rPr>
                <w:sz w:val="26"/>
                <w:rtl/>
              </w:rPr>
            </w:pPr>
            <w:r w:rsidRPr="007B0411">
              <w:rPr>
                <w:sz w:val="26"/>
                <w:rtl/>
              </w:rPr>
              <w:t>(2)</w:t>
            </w:r>
            <w:r w:rsidRPr="007B0411">
              <w:rPr>
                <w:sz w:val="26"/>
                <w:rtl/>
              </w:rPr>
              <w:tab/>
            </w:r>
            <w:r w:rsidRPr="00C46FBE">
              <w:rPr>
                <w:sz w:val="26"/>
                <w:rtl/>
              </w:rPr>
              <w:t xml:space="preserve">18% מכלל </w:t>
            </w:r>
            <w:r>
              <w:rPr>
                <w:rFonts w:hint="cs"/>
                <w:sz w:val="26"/>
                <w:rtl/>
              </w:rPr>
              <w:t>הכנסתו,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בשנת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המס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השנייה</w:t>
            </w:r>
            <w:r w:rsidRPr="00C46FBE">
              <w:rPr>
                <w:sz w:val="26"/>
                <w:rtl/>
              </w:rPr>
              <w:t>,</w:t>
            </w:r>
            <w:r w:rsidRPr="00BA73CC">
              <w:rPr>
                <w:sz w:val="26"/>
                <w:rtl/>
              </w:rPr>
              <w:t xml:space="preserve"> </w:t>
            </w:r>
            <w:r w:rsidRPr="00C46FBE">
              <w:rPr>
                <w:sz w:val="26"/>
                <w:rtl/>
              </w:rPr>
              <w:t>ממכירות המפעל, הן ממכירות בשוק מסוים המונה 14 מיליון תושבים לפחות; מספר התושבים לפי פסקת משנה זו יעלה, ב-1 בינואר של כל שנת מס, בשיעור של 1.4% ביחס למספר התושבים לפי פסקת משנה זו ב-1 בינואר של שנת המס הקודמת;</w:t>
            </w:r>
          </w:p>
        </w:tc>
      </w:tr>
      <w:tr w:rsidR="007C3367" w:rsidRPr="00BA73CC" w14:paraId="5372BFFA" w14:textId="77777777" w:rsidTr="008D6A19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69" w:type="dxa"/>
          </w:tcPr>
          <w:p w14:paraId="3A56E4D4" w14:textId="77777777" w:rsidR="007C3367" w:rsidRDefault="007C3367" w:rsidP="008D6A19">
            <w:pPr>
              <w:pStyle w:val="TableSideHeading"/>
              <w:ind w:right="0"/>
              <w:rPr>
                <w:rtl/>
              </w:rPr>
            </w:pPr>
          </w:p>
        </w:tc>
        <w:tc>
          <w:tcPr>
            <w:tcW w:w="624" w:type="dxa"/>
          </w:tcPr>
          <w:p w14:paraId="32955A81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24" w:type="dxa"/>
          </w:tcPr>
          <w:p w14:paraId="26BDD743" w14:textId="77777777" w:rsidR="007C3367" w:rsidRDefault="007C3367" w:rsidP="008D6A19">
            <w:pPr>
              <w:pStyle w:val="TableText"/>
              <w:ind w:right="0"/>
              <w:jc w:val="both"/>
            </w:pPr>
          </w:p>
        </w:tc>
        <w:tc>
          <w:tcPr>
            <w:tcW w:w="6522" w:type="dxa"/>
          </w:tcPr>
          <w:p w14:paraId="5BF7FB5B" w14:textId="77777777" w:rsidR="007C3367" w:rsidRPr="00BA73CC" w:rsidRDefault="007C3367" w:rsidP="008D6A19">
            <w:pPr>
              <w:pStyle w:val="TableText"/>
              <w:ind w:right="0"/>
              <w:jc w:val="both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(3)</w:t>
            </w:r>
            <w:r>
              <w:rPr>
                <w:sz w:val="26"/>
                <w:rtl/>
              </w:rPr>
              <w:tab/>
            </w:r>
            <w:r w:rsidRPr="00C46FBE">
              <w:rPr>
                <w:sz w:val="26"/>
                <w:rtl/>
              </w:rPr>
              <w:t xml:space="preserve">21% </w:t>
            </w:r>
            <w:r>
              <w:rPr>
                <w:rFonts w:hint="cs"/>
                <w:sz w:val="26"/>
                <w:rtl/>
              </w:rPr>
              <w:t>מכלל הכנסת</w:t>
            </w:r>
            <w:r w:rsidRPr="0042522D">
              <w:rPr>
                <w:rFonts w:hint="cs"/>
                <w:sz w:val="26"/>
                <w:rtl/>
              </w:rPr>
              <w:t>ו</w:t>
            </w:r>
            <w:r>
              <w:rPr>
                <w:rFonts w:hint="cs"/>
                <w:sz w:val="26"/>
                <w:rtl/>
              </w:rPr>
              <w:t>,</w:t>
            </w:r>
            <w:r w:rsidRPr="0042522D">
              <w:rPr>
                <w:rFonts w:hint="cs"/>
                <w:sz w:val="26"/>
                <w:rtl/>
              </w:rPr>
              <w:t xml:space="preserve"> בשנת המס </w:t>
            </w:r>
            <w:r>
              <w:rPr>
                <w:rFonts w:hint="cs"/>
                <w:sz w:val="26"/>
                <w:rtl/>
              </w:rPr>
              <w:t>השלישית ובשנת המס הרביעית</w:t>
            </w:r>
            <w:r w:rsidRPr="0042522D">
              <w:rPr>
                <w:rFonts w:hint="cs"/>
                <w:sz w:val="26"/>
                <w:rtl/>
              </w:rPr>
              <w:t>,</w:t>
            </w:r>
            <w:r w:rsidRPr="00BA73CC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ממכירות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המפעל</w:t>
            </w:r>
            <w:r w:rsidRPr="00C46FBE">
              <w:rPr>
                <w:sz w:val="26"/>
                <w:rtl/>
              </w:rPr>
              <w:t xml:space="preserve">, </w:t>
            </w:r>
            <w:r w:rsidRPr="00C46FBE">
              <w:rPr>
                <w:rFonts w:hint="eastAsia"/>
                <w:sz w:val="26"/>
                <w:rtl/>
              </w:rPr>
              <w:t>הן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ממכירות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בשוק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מסוים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המונה</w:t>
            </w:r>
            <w:r w:rsidRPr="00C46FBE">
              <w:rPr>
                <w:sz w:val="26"/>
                <w:rtl/>
              </w:rPr>
              <w:t xml:space="preserve"> 14 </w:t>
            </w:r>
            <w:r w:rsidRPr="00C46FBE">
              <w:rPr>
                <w:rFonts w:hint="eastAsia"/>
                <w:sz w:val="26"/>
                <w:rtl/>
              </w:rPr>
              <w:t>מיליון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תושבים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לפחות</w:t>
            </w:r>
            <w:r w:rsidRPr="00C46FBE">
              <w:rPr>
                <w:sz w:val="26"/>
                <w:rtl/>
              </w:rPr>
              <w:t xml:space="preserve">; </w:t>
            </w:r>
            <w:r w:rsidRPr="00C46FBE">
              <w:rPr>
                <w:rFonts w:hint="eastAsia"/>
                <w:sz w:val="26"/>
                <w:rtl/>
              </w:rPr>
              <w:t>מספר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התושבים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לפי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פסקת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משנה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זו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יעלה</w:t>
            </w:r>
            <w:r w:rsidRPr="00C46FBE">
              <w:rPr>
                <w:sz w:val="26"/>
                <w:rtl/>
              </w:rPr>
              <w:t xml:space="preserve">, </w:t>
            </w:r>
            <w:r w:rsidRPr="00C46FBE">
              <w:rPr>
                <w:rFonts w:hint="eastAsia"/>
                <w:sz w:val="26"/>
                <w:rtl/>
              </w:rPr>
              <w:t>ב</w:t>
            </w:r>
            <w:r w:rsidRPr="00C46FBE">
              <w:rPr>
                <w:sz w:val="26"/>
                <w:rtl/>
              </w:rPr>
              <w:t xml:space="preserve">-1 </w:t>
            </w:r>
            <w:r w:rsidRPr="00C46FBE">
              <w:rPr>
                <w:rFonts w:hint="eastAsia"/>
                <w:sz w:val="26"/>
                <w:rtl/>
              </w:rPr>
              <w:t>בינואר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של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כל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שנת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מס</w:t>
            </w:r>
            <w:r w:rsidRPr="00C46FBE">
              <w:rPr>
                <w:sz w:val="26"/>
                <w:rtl/>
              </w:rPr>
              <w:t xml:space="preserve">, </w:t>
            </w:r>
            <w:r w:rsidRPr="00C46FBE">
              <w:rPr>
                <w:rFonts w:hint="eastAsia"/>
                <w:sz w:val="26"/>
                <w:rtl/>
              </w:rPr>
              <w:t>בשיעור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של</w:t>
            </w:r>
            <w:r w:rsidRPr="00C46FBE">
              <w:rPr>
                <w:sz w:val="26"/>
                <w:rtl/>
              </w:rPr>
              <w:t xml:space="preserve"> 1.4% </w:t>
            </w:r>
            <w:r w:rsidRPr="00C46FBE">
              <w:rPr>
                <w:rFonts w:hint="eastAsia"/>
                <w:sz w:val="26"/>
                <w:rtl/>
              </w:rPr>
              <w:t>ביחס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למספר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התושבים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לפי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פסקת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משנה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זו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ב</w:t>
            </w:r>
            <w:r w:rsidRPr="00C46FBE">
              <w:rPr>
                <w:sz w:val="26"/>
                <w:rtl/>
              </w:rPr>
              <w:t xml:space="preserve">-1 </w:t>
            </w:r>
            <w:r w:rsidRPr="00C46FBE">
              <w:rPr>
                <w:rFonts w:hint="eastAsia"/>
                <w:sz w:val="26"/>
                <w:rtl/>
              </w:rPr>
              <w:t>בינואר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של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שנת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המס</w:t>
            </w:r>
            <w:r w:rsidRPr="00C46FBE">
              <w:rPr>
                <w:sz w:val="26"/>
                <w:rtl/>
              </w:rPr>
              <w:t xml:space="preserve"> </w:t>
            </w:r>
            <w:r w:rsidRPr="00C46FBE">
              <w:rPr>
                <w:rFonts w:hint="eastAsia"/>
                <w:sz w:val="26"/>
                <w:rtl/>
              </w:rPr>
              <w:t>הקודמת</w:t>
            </w:r>
            <w:r>
              <w:rPr>
                <w:rFonts w:hint="cs"/>
                <w:sz w:val="26"/>
                <w:rtl/>
              </w:rPr>
              <w:t>;".</w:t>
            </w:r>
          </w:p>
        </w:tc>
      </w:tr>
      <w:tr w:rsidR="007C3367" w:rsidRPr="00D323B2" w14:paraId="5440863B" w14:textId="77777777" w:rsidTr="008D6A19">
        <w:trPr>
          <w:cantSplit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43BC590" w14:textId="77777777" w:rsidR="007C3367" w:rsidRPr="00D323B2" w:rsidRDefault="007C3367" w:rsidP="008D6A19">
            <w:pPr>
              <w:pStyle w:val="TableSideHeading"/>
              <w:ind w:right="0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lastRenderedPageBreak/>
              <w:t>תוקף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172D29" w14:textId="77777777" w:rsidR="007C3367" w:rsidRPr="00D323B2" w:rsidRDefault="007C3367" w:rsidP="008D6A19">
            <w:pPr>
              <w:pStyle w:val="TableText"/>
              <w:ind w:right="0"/>
              <w:jc w:val="both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2.</w:t>
            </w:r>
          </w:p>
        </w:tc>
        <w:tc>
          <w:tcPr>
            <w:tcW w:w="7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C3D81" w14:textId="77777777" w:rsidR="007C3367" w:rsidRPr="00D323B2" w:rsidRDefault="007C3367" w:rsidP="008D6A19">
            <w:pPr>
              <w:pStyle w:val="TableText"/>
              <w:ind w:right="0"/>
              <w:jc w:val="both"/>
              <w:rPr>
                <w:rtl/>
              </w:rPr>
            </w:pPr>
            <w:r w:rsidRPr="000C7A8A">
              <w:rPr>
                <w:rFonts w:hint="eastAsia"/>
                <w:rtl/>
              </w:rPr>
              <w:t>שר</w:t>
            </w:r>
            <w:r w:rsidRPr="00D323B2">
              <w:rPr>
                <w:rFonts w:hint="cs"/>
                <w:rtl/>
              </w:rPr>
              <w:t xml:space="preserve"> האוצר </w:t>
            </w:r>
            <w:r>
              <w:rPr>
                <w:rFonts w:hint="cs"/>
                <w:rtl/>
              </w:rPr>
              <w:t>ר</w:t>
            </w:r>
            <w:r w:rsidRPr="00D323B2">
              <w:rPr>
                <w:rFonts w:hint="cs"/>
                <w:rtl/>
              </w:rPr>
              <w:t xml:space="preserve">שאי, </w:t>
            </w:r>
            <w:r>
              <w:rPr>
                <w:rFonts w:hint="cs"/>
                <w:rtl/>
              </w:rPr>
              <w:t xml:space="preserve">באישור ועדת הכספים של הכנסת, </w:t>
            </w:r>
            <w:r w:rsidRPr="00D323B2">
              <w:rPr>
                <w:rFonts w:hint="cs"/>
                <w:rtl/>
              </w:rPr>
              <w:t>להאריך את תוקפו של חוק זה לתקופה נוספת</w:t>
            </w:r>
            <w:r>
              <w:rPr>
                <w:rFonts w:hint="cs"/>
                <w:rtl/>
              </w:rPr>
              <w:t xml:space="preserve"> של עד חמש שנים.</w:t>
            </w:r>
          </w:p>
        </w:tc>
      </w:tr>
    </w:tbl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1AA43A22" w14:textId="77777777" w:rsidR="007C3367" w:rsidRPr="00032D58" w:rsidRDefault="007C3367" w:rsidP="00032D58">
      <w:pPr>
        <w:pStyle w:val="Hesber"/>
        <w:rPr>
          <w:rtl/>
        </w:rPr>
      </w:pPr>
      <w:r w:rsidRPr="00032D58">
        <w:rPr>
          <w:rFonts w:hint="cs"/>
          <w:rtl/>
        </w:rPr>
        <w:t>בחוק לעידוד השקעות הון, התשי"ט</w:t>
      </w:r>
      <w:r w:rsidRPr="00032D58">
        <w:rPr>
          <w:rFonts w:hint="eastAsia"/>
          <w:rtl/>
        </w:rPr>
        <w:t>–</w:t>
      </w:r>
      <w:r w:rsidRPr="00032D58">
        <w:rPr>
          <w:rFonts w:hint="cs"/>
          <w:rtl/>
        </w:rPr>
        <w:t xml:space="preserve">1959 (להלן </w:t>
      </w:r>
      <w:r w:rsidRPr="00032D58">
        <w:rPr>
          <w:rtl/>
        </w:rPr>
        <w:t>–</w:t>
      </w:r>
      <w:r w:rsidRPr="00032D58">
        <w:rPr>
          <w:rFonts w:hint="cs"/>
          <w:rtl/>
        </w:rPr>
        <w:t xml:space="preserve"> חוק לעידוד השקעות הון), נקבע בסעיף 18א, כי אחד התנאים לאישור תכנית למפעל תעשייתי הוא תנאי של ייצוא מוצרים אל מחוץ לישראל, כך ש-25% או יותר מכלל הכנסתו בשנת מס ממכירות המפעל הן ממכירות בשוק מסוים המונה 14 מיליון תושבים לפחות. </w:t>
      </w:r>
    </w:p>
    <w:p w14:paraId="2956EFA9" w14:textId="77777777" w:rsidR="007C3367" w:rsidRPr="00032D58" w:rsidRDefault="007C3367" w:rsidP="00032D58">
      <w:pPr>
        <w:pStyle w:val="Hesber"/>
        <w:rPr>
          <w:rtl/>
        </w:rPr>
      </w:pPr>
      <w:r w:rsidRPr="00032D58">
        <w:rPr>
          <w:rFonts w:hint="cs"/>
          <w:rtl/>
        </w:rPr>
        <w:t>כיום</w:t>
      </w:r>
      <w:r w:rsidRPr="00032D58">
        <w:rPr>
          <w:rtl/>
        </w:rPr>
        <w:t xml:space="preserve">, חברות </w:t>
      </w:r>
      <w:r w:rsidRPr="00032D58">
        <w:rPr>
          <w:rFonts w:hint="eastAsia"/>
          <w:rtl/>
        </w:rPr>
        <w:t>קטנות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ובינוניות</w:t>
      </w:r>
      <w:r w:rsidRPr="00032D58">
        <w:rPr>
          <w:rFonts w:hint="cs"/>
          <w:rtl/>
        </w:rPr>
        <w:t xml:space="preserve"> </w:t>
      </w:r>
      <w:r w:rsidRPr="00032D58">
        <w:rPr>
          <w:rFonts w:hint="eastAsia"/>
          <w:rtl/>
        </w:rPr>
        <w:t>בתחילת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דרכן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מתקשות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להגיע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לאחוז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מכירות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בשוק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מסוים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בהיקף</w:t>
      </w:r>
      <w:r w:rsidRPr="00032D58">
        <w:rPr>
          <w:rtl/>
        </w:rPr>
        <w:t xml:space="preserve"> </w:t>
      </w:r>
      <w:r w:rsidRPr="00032D58">
        <w:rPr>
          <w:rFonts w:hint="eastAsia"/>
          <w:rtl/>
        </w:rPr>
        <w:t>של</w:t>
      </w:r>
      <w:r w:rsidRPr="00032D58">
        <w:rPr>
          <w:rtl/>
        </w:rPr>
        <w:t xml:space="preserve"> 25% </w:t>
      </w:r>
      <w:r w:rsidRPr="00032D58">
        <w:rPr>
          <w:rFonts w:hint="eastAsia"/>
          <w:rtl/>
        </w:rPr>
        <w:t>לפחות</w:t>
      </w:r>
      <w:r w:rsidRPr="00032D58">
        <w:rPr>
          <w:rtl/>
        </w:rPr>
        <w:t xml:space="preserve">, </w:t>
      </w:r>
      <w:r w:rsidRPr="00032D58">
        <w:rPr>
          <w:rFonts w:hint="eastAsia"/>
          <w:rtl/>
        </w:rPr>
        <w:t>כנדרש</w:t>
      </w:r>
      <w:r w:rsidRPr="00032D58">
        <w:rPr>
          <w:rtl/>
        </w:rPr>
        <w:t xml:space="preserve"> </w:t>
      </w:r>
      <w:r w:rsidRPr="00032D58">
        <w:rPr>
          <w:rFonts w:hint="cs"/>
          <w:rtl/>
        </w:rPr>
        <w:t xml:space="preserve">בחוק לעידוד השקעות הון, </w:t>
      </w:r>
      <w:r w:rsidRPr="00032D58">
        <w:rPr>
          <w:rtl/>
        </w:rPr>
        <w:t xml:space="preserve">ועל כן אינן זכאיות להטבות </w:t>
      </w:r>
      <w:r w:rsidRPr="00032D58">
        <w:rPr>
          <w:rFonts w:hint="cs"/>
          <w:rtl/>
        </w:rPr>
        <w:t>מכוח</w:t>
      </w:r>
      <w:r w:rsidRPr="00032D58">
        <w:rPr>
          <w:rtl/>
        </w:rPr>
        <w:t xml:space="preserve"> החוק.</w:t>
      </w:r>
    </w:p>
    <w:p w14:paraId="073500E9" w14:textId="0F74810C" w:rsidR="007C3367" w:rsidRPr="00032D58" w:rsidRDefault="007C3367" w:rsidP="00032D58">
      <w:pPr>
        <w:pStyle w:val="Hesber"/>
        <w:rPr>
          <w:rtl/>
        </w:rPr>
      </w:pPr>
      <w:r w:rsidRPr="00032D58">
        <w:rPr>
          <w:rFonts w:hint="cs"/>
          <w:rtl/>
        </w:rPr>
        <w:t>לפיכך, כדי לעודד יצרנים קטנים לייצא ולהגביר את הפריון כחלק מיעד לאומי אסטרטגי, מוצע  לקבוע בהצעת חוק זו כי מפעל שמחזור המכירות שלו נמוך מ-100 מיליון שקלים חדשים בשנה, יעמוד בתנאי האמור גם אם כלל הכנסתו עומדת על 15% מהייצוא בשנה הראשונה, 18% אחוז בשנה השנייה, ו-21% בשנה השלישית ובשנה הרביעית, ובלבד שבכל אחת מהשנים האלה חזור המכירות גדל ב-1.5% לפחות.</w:t>
      </w:r>
      <w:r w:rsidRPr="00032D58">
        <w:rPr>
          <w:rtl/>
        </w:rPr>
        <w:t xml:space="preserve"> </w:t>
      </w:r>
    </w:p>
    <w:p w14:paraId="038754AC" w14:textId="6974921E" w:rsidR="00802E69" w:rsidRDefault="00802E69" w:rsidP="00032D58">
      <w:pPr>
        <w:pStyle w:val="Hesber"/>
      </w:pPr>
      <w:r w:rsidRPr="00032D58">
        <w:rPr>
          <w:rFonts w:hint="cs"/>
          <w:rtl/>
        </w:rPr>
        <w:t xml:space="preserve">הצעת חוק זהה הונחה על שולחן הכנסת העשרים על ידי חברי הכנסת עודד פורר ויוליה מלינובסקי </w:t>
      </w:r>
      <w:r w:rsidR="00797788">
        <w:rPr>
          <w:rFonts w:hint="cs"/>
          <w:rtl/>
        </w:rPr>
        <w:t>(</w:t>
      </w:r>
      <w:r w:rsidRPr="00032D58">
        <w:rPr>
          <w:rtl/>
        </w:rPr>
        <w:t>פ/</w:t>
      </w:r>
      <w:r w:rsidRPr="00032D58">
        <w:rPr>
          <w:rFonts w:hint="cs"/>
          <w:rtl/>
        </w:rPr>
        <w:t>3971</w:t>
      </w:r>
      <w:r w:rsidRPr="00032D58">
        <w:rPr>
          <w:rtl/>
        </w:rPr>
        <w:t>/20)</w:t>
      </w:r>
      <w:r w:rsidRPr="00032D58">
        <w:rPr>
          <w:rFonts w:hint="cs"/>
          <w:rtl/>
        </w:rPr>
        <w:t>.</w:t>
      </w:r>
    </w:p>
    <w:p w14:paraId="61036CA1" w14:textId="1E33FC66" w:rsidR="00022415" w:rsidRDefault="00022415" w:rsidP="00032D58">
      <w:pPr>
        <w:pStyle w:val="Hesber"/>
      </w:pPr>
    </w:p>
    <w:p w14:paraId="54BAD2C0" w14:textId="77777777" w:rsidR="00022415" w:rsidRDefault="00022415" w:rsidP="00032D58">
      <w:pPr>
        <w:pStyle w:val="Hesber"/>
      </w:pPr>
    </w:p>
    <w:p w14:paraId="426786E2" w14:textId="77777777" w:rsidR="00022415" w:rsidRPr="00D73212" w:rsidRDefault="00022415" w:rsidP="00022415">
      <w:pPr>
        <w:pStyle w:val="Hesber"/>
        <w:rPr>
          <w:color w:val="auto"/>
          <w:rtl/>
          <w:lang w:eastAsia="en-US"/>
        </w:rPr>
      </w:pPr>
      <w:r w:rsidRPr="00D73212">
        <w:rPr>
          <w:color w:val="auto"/>
          <w:rtl/>
          <w:lang w:eastAsia="en-US"/>
        </w:rPr>
        <w:t>---------------------------------</w:t>
      </w:r>
    </w:p>
    <w:p w14:paraId="18AE730E" w14:textId="77777777" w:rsidR="00022415" w:rsidRPr="00D73212" w:rsidRDefault="00022415" w:rsidP="00022415">
      <w:pPr>
        <w:pStyle w:val="Hesber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הוגשה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ליו</w:t>
      </w:r>
      <w:r w:rsidRPr="00D73212">
        <w:rPr>
          <w:color w:val="auto"/>
          <w:rtl/>
          <w:lang w:eastAsia="en-US"/>
        </w:rPr>
        <w:t>"</w:t>
      </w:r>
      <w:r w:rsidRPr="00D73212">
        <w:rPr>
          <w:rFonts w:hint="cs"/>
          <w:color w:val="auto"/>
          <w:rtl/>
          <w:lang w:eastAsia="en-US"/>
        </w:rPr>
        <w:t>ר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והסגנים</w:t>
      </w:r>
    </w:p>
    <w:p w14:paraId="7780A996" w14:textId="77777777" w:rsidR="00022415" w:rsidRPr="00D73212" w:rsidRDefault="00022415" w:rsidP="00022415">
      <w:pPr>
        <w:pStyle w:val="Hesber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והונחה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על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שולחן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ביום</w:t>
      </w:r>
    </w:p>
    <w:p w14:paraId="51C4ED98" w14:textId="1DF6E6F7" w:rsidR="00022415" w:rsidRPr="00032D58" w:rsidRDefault="00022415" w:rsidP="00022415">
      <w:pPr>
        <w:pStyle w:val="Hesber"/>
        <w:rPr>
          <w:rtl/>
        </w:rPr>
      </w:pPr>
      <w:r>
        <w:rPr>
          <w:rFonts w:hint="cs"/>
          <w:color w:val="auto"/>
          <w:rtl/>
          <w:lang w:eastAsia="en-US"/>
        </w:rPr>
        <w:t>כ"ב באייר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התשע</w:t>
      </w:r>
      <w:r w:rsidRPr="00D73212">
        <w:rPr>
          <w:color w:val="auto"/>
          <w:rtl/>
          <w:lang w:eastAsia="en-US"/>
        </w:rPr>
        <w:t>"</w:t>
      </w:r>
      <w:r>
        <w:rPr>
          <w:rFonts w:hint="cs"/>
          <w:color w:val="auto"/>
          <w:rtl/>
          <w:lang w:eastAsia="en-US"/>
        </w:rPr>
        <w:t xml:space="preserve">ט </w:t>
      </w:r>
      <w:r w:rsidRPr="00D73212">
        <w:rPr>
          <w:color w:val="auto"/>
          <w:rtl/>
          <w:lang w:eastAsia="en-US"/>
        </w:rPr>
        <w:t>–</w:t>
      </w:r>
      <w:r>
        <w:rPr>
          <w:rFonts w:hint="cs"/>
          <w:color w:val="auto"/>
          <w:rtl/>
          <w:lang w:eastAsia="en-US"/>
        </w:rPr>
        <w:t xml:space="preserve"> 27.5</w:t>
      </w:r>
      <w:r w:rsidRPr="00D73212">
        <w:rPr>
          <w:color w:val="auto"/>
          <w:rtl/>
          <w:lang w:eastAsia="en-US"/>
        </w:rPr>
        <w:t>.</w:t>
      </w:r>
      <w:r>
        <w:rPr>
          <w:rFonts w:hint="cs"/>
          <w:color w:val="auto"/>
          <w:rtl/>
          <w:lang w:eastAsia="en-US"/>
        </w:rPr>
        <w:t xml:space="preserve">19  </w:t>
      </w:r>
      <w:bookmarkStart w:id="8" w:name="_GoBack"/>
      <w:bookmarkEnd w:id="8"/>
    </w:p>
    <w:p w14:paraId="7F6961CB" w14:textId="77777777" w:rsidR="00E13C27" w:rsidRDefault="00E13C27" w:rsidP="00E13C27">
      <w:pPr>
        <w:pStyle w:val="Hesber"/>
        <w:rPr>
          <w:rtl/>
        </w:rPr>
      </w:pPr>
    </w:p>
    <w:sectPr w:rsidR="00E13C27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22415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4A6A75C0" w14:textId="77777777" w:rsidR="007C3367" w:rsidRDefault="007C3367" w:rsidP="007C3367">
      <w:pPr>
        <w:pStyle w:val="a4"/>
      </w:pPr>
      <w:r>
        <w:rPr>
          <w:rStyle w:val="a6"/>
        </w:rPr>
        <w:footnoteRef/>
      </w:r>
      <w:r>
        <w:rPr>
          <w:sz w:val="20"/>
          <w:rtl/>
        </w:rPr>
        <w:t xml:space="preserve"> ס"ח התשי"ט, עמ' 234.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22415"/>
    <w:rsid w:val="00032D58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97788"/>
    <w:rsid w:val="007A27CE"/>
    <w:rsid w:val="007C3367"/>
    <w:rsid w:val="007C3FA6"/>
    <w:rsid w:val="007D585A"/>
    <w:rsid w:val="007D5A12"/>
    <w:rsid w:val="007E59F9"/>
    <w:rsid w:val="00802E6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9704D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909DE73A-C4E3-4069-9DF9-A4D4133A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link w:val="TableText0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uiPriority w:val="99"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uiPriority w:val="99"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link w:val="a4"/>
    <w:uiPriority w:val="99"/>
    <w:rsid w:val="007C3367"/>
    <w:rPr>
      <w:rFonts w:ascii="Arial" w:eastAsia="Arial Unicode MS" w:hAnsi="Arial" w:cs="David"/>
      <w:snapToGrid w:val="0"/>
      <w:color w:val="000000"/>
      <w:sz w:val="14"/>
      <w:lang w:eastAsia="ja-JP"/>
    </w:rPr>
  </w:style>
  <w:style w:type="character" w:customStyle="1" w:styleId="TableText0">
    <w:name w:val="Table Text תו"/>
    <w:link w:val="TableText"/>
    <w:rsid w:val="007C3367"/>
    <w:rPr>
      <w:rFonts w:ascii="Arial" w:eastAsia="Arial Unicode MS" w:hAnsi="Arial" w:cs="David"/>
      <w:snapToGrid w:val="0"/>
      <w:color w:val="000000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97467741CB98040970A6DBBC195775F" ma:contentTypeVersion="" ma:contentTypeDescription="צור מסמך חדש." ma:contentTypeScope="" ma:versionID="6e55fc6acbead604c2f45a2c1dd207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57210-F6A8-41CC-BE46-42D42BD7E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B75F01-C14F-4358-B6C4-9B85E3B6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חנה קרליץ</cp:lastModifiedBy>
  <cp:revision>9</cp:revision>
  <cp:lastPrinted>2019-05-21T07:43:00Z</cp:lastPrinted>
  <dcterms:created xsi:type="dcterms:W3CDTF">2015-04-20T09:58:00Z</dcterms:created>
  <dcterms:modified xsi:type="dcterms:W3CDTF">2019-05-21T07:44:00Z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0x010100697467741CB98040970A6DBBC195775F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2078720</vt:r8>
  </property>
</Properties>
</file>